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53FAA31"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477911">
        <w:rPr>
          <w:rFonts w:cs="Arial"/>
          <w:bCs/>
          <w:noProof w:val="0"/>
          <w:sz w:val="24"/>
          <w:szCs w:val="24"/>
        </w:rPr>
        <w:t>3</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815082">
        <w:rPr>
          <w:rFonts w:cs="Arial"/>
          <w:bCs/>
          <w:noProof w:val="0"/>
          <w:sz w:val="24"/>
          <w:szCs w:val="24"/>
        </w:rPr>
        <w:t>3249</w:t>
      </w:r>
    </w:p>
    <w:bookmarkEnd w:id="0"/>
    <w:p w14:paraId="5669B020" w14:textId="4F4BAFC7"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477911">
        <w:rPr>
          <w:rFonts w:eastAsia="MS Mincho" w:cs="Arial"/>
          <w:sz w:val="24"/>
          <w:szCs w:val="24"/>
        </w:rPr>
        <w:t>6</w:t>
      </w:r>
      <w:r w:rsidR="00F36DA6" w:rsidRPr="000665EA">
        <w:rPr>
          <w:rFonts w:eastAsia="MS Mincho" w:cs="Arial"/>
          <w:sz w:val="24"/>
          <w:szCs w:val="24"/>
        </w:rPr>
        <w:t xml:space="preserve"> </w:t>
      </w:r>
      <w:r w:rsidR="00477911">
        <w:rPr>
          <w:rFonts w:eastAsia="MS Mincho" w:cs="Arial"/>
          <w:sz w:val="24"/>
          <w:szCs w:val="24"/>
        </w:rPr>
        <w:t xml:space="preserve">– </w:t>
      </w:r>
      <w:r w:rsidR="00D20DF3">
        <w:rPr>
          <w:rFonts w:eastAsia="MS Mincho" w:cs="Arial"/>
          <w:sz w:val="24"/>
          <w:szCs w:val="24"/>
        </w:rPr>
        <w:t>2</w:t>
      </w:r>
      <w:r w:rsidR="00477911">
        <w:rPr>
          <w:rFonts w:eastAsia="MS Mincho" w:cs="Arial"/>
          <w:sz w:val="24"/>
          <w:szCs w:val="24"/>
        </w:rPr>
        <w:t>7 August</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656763B4"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815082">
        <w:rPr>
          <w:rFonts w:cs="Arial"/>
          <w:b/>
          <w:bCs/>
          <w:sz w:val="24"/>
        </w:rPr>
        <w:t>8.1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1264255B"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F424A3">
        <w:rPr>
          <w:rFonts w:ascii="Arial" w:hAnsi="Arial" w:cs="Arial"/>
          <w:b/>
          <w:bCs/>
          <w:sz w:val="24"/>
        </w:rPr>
        <w:t>Indication for full or delta configuration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46CE7F94" w:rsidR="005E3D0F" w:rsidRDefault="00F424A3" w:rsidP="008572DC">
      <w:bookmarkStart w:id="1" w:name="_Toc474247438"/>
      <w:r>
        <w:t xml:space="preserve">At RAN2 electronic meeting #114, an LS was sent to RAN3 to clarify usage of the UE </w:t>
      </w:r>
      <w:proofErr w:type="spellStart"/>
      <w:r>
        <w:t>Xn</w:t>
      </w:r>
      <w:proofErr w:type="spellEnd"/>
      <w:r>
        <w:t xml:space="preserve"> AP ID in the context of RRC configuration during a HO without SN change [1]. In the LS, two questions are asked:</w:t>
      </w:r>
    </w:p>
    <w:p w14:paraId="0FE67FFD" w14:textId="4D6DC6CE" w:rsidR="00F424A3" w:rsidRDefault="00F424A3" w:rsidP="00F424A3">
      <w:pPr>
        <w:pStyle w:val="ListParagraph"/>
        <w:numPr>
          <w:ilvl w:val="0"/>
          <w:numId w:val="40"/>
        </w:numPr>
      </w:pPr>
      <w:r>
        <w:t>In the inter-MN handover without SN change scenario, is the SN UE X2/</w:t>
      </w:r>
      <w:proofErr w:type="spellStart"/>
      <w:r>
        <w:t>XnAP</w:t>
      </w:r>
      <w:proofErr w:type="spellEnd"/>
      <w:r>
        <w:t xml:space="preserve"> ID always required to be present when target MN sends SN Addition Request to SN?</w:t>
      </w:r>
    </w:p>
    <w:p w14:paraId="7B01188B" w14:textId="6C8CC982" w:rsidR="00F424A3" w:rsidRDefault="00F424A3" w:rsidP="00F424A3">
      <w:pPr>
        <w:pStyle w:val="ListParagraph"/>
        <w:numPr>
          <w:ilvl w:val="0"/>
          <w:numId w:val="40"/>
        </w:numPr>
      </w:pPr>
      <w:r>
        <w:t>For the same scenario, RAN2 would like to confirm with RAN3 if the receipt of SN UE X2/</w:t>
      </w:r>
      <w:proofErr w:type="spellStart"/>
      <w:r>
        <w:t>XnAP</w:t>
      </w:r>
      <w:proofErr w:type="spellEnd"/>
      <w:r>
        <w:t xml:space="preserve"> ID alone may be interpreted by SN to retrieve the SCG configuration to provide delta configuration?</w:t>
      </w:r>
    </w:p>
    <w:p w14:paraId="468EC000" w14:textId="7B59E4CE" w:rsidR="00F424A3" w:rsidRPr="00F424A3" w:rsidRDefault="00F424A3" w:rsidP="008572DC">
      <w:pPr>
        <w:rPr>
          <w:lang w:val="en-US"/>
        </w:rPr>
      </w:pPr>
      <w:r>
        <w:rPr>
          <w:lang w:val="en-US"/>
        </w:rPr>
        <w:t xml:space="preserve">In this paper, we </w:t>
      </w:r>
      <w:proofErr w:type="spellStart"/>
      <w:r>
        <w:rPr>
          <w:lang w:val="en-US"/>
        </w:rPr>
        <w:t>analyse</w:t>
      </w:r>
      <w:proofErr w:type="spellEnd"/>
      <w:r>
        <w:rPr>
          <w:lang w:val="en-US"/>
        </w:rPr>
        <w:t xml:space="preserve"> the situation and propose responses to the questions.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0A1A626C" w:rsidR="008559D6" w:rsidRDefault="00044D69" w:rsidP="00044D69">
      <w:pPr>
        <w:pStyle w:val="Heading2"/>
      </w:pPr>
      <w:r>
        <w:t>2.1</w:t>
      </w:r>
      <w:r>
        <w:tab/>
        <w:t>Usage of the UE AP ID in the Addition</w:t>
      </w:r>
    </w:p>
    <w:p w14:paraId="35582287" w14:textId="6F8F0023" w:rsidR="00BB7848" w:rsidRDefault="00BB7848" w:rsidP="008559D6">
      <w:r>
        <w:t>The below discussion uses NR naming of the nodes and interfaces, but the same applies to LTE counterparts.</w:t>
      </w:r>
    </w:p>
    <w:p w14:paraId="313E7A2A" w14:textId="2A08F97E" w:rsidR="00044D69" w:rsidRDefault="00044D69" w:rsidP="008559D6">
      <w:r>
        <w:t xml:space="preserve">The stage-3 specification </w:t>
      </w:r>
      <w:proofErr w:type="gramStart"/>
      <w:r>
        <w:t>refer</w:t>
      </w:r>
      <w:proofErr w:type="gramEnd"/>
      <w:r>
        <w:t xml:space="preserve"> in this respect to the TS 37.340. The latter then declares:</w:t>
      </w:r>
    </w:p>
    <w:p w14:paraId="7AB376F5" w14:textId="6733219C" w:rsidR="00044D69" w:rsidRPr="00044D69" w:rsidRDefault="00044D69" w:rsidP="008559D6">
      <w:pPr>
        <w:rPr>
          <w:i/>
          <w:iCs/>
        </w:rPr>
      </w:pPr>
      <w:r w:rsidRPr="00044D69">
        <w:rPr>
          <w:i/>
          <w:iCs/>
        </w:rPr>
        <w:t>2.</w:t>
      </w:r>
      <w:r w:rsidRPr="00044D69">
        <w:rPr>
          <w:i/>
          <w:iCs/>
        </w:rPr>
        <w:tab/>
        <w:t xml:space="preserve">If the target MN decides to keep the source SN, </w:t>
      </w:r>
      <w:r w:rsidRPr="00287D68">
        <w:rPr>
          <w:i/>
          <w:iCs/>
          <w:highlight w:val="yellow"/>
        </w:rPr>
        <w:t xml:space="preserve">the target MN sends SN Addition Request to the SN including the SN UE </w:t>
      </w:r>
      <w:proofErr w:type="spellStart"/>
      <w:r w:rsidRPr="00287D68">
        <w:rPr>
          <w:i/>
          <w:iCs/>
          <w:highlight w:val="yellow"/>
        </w:rPr>
        <w:t>XnAP</w:t>
      </w:r>
      <w:proofErr w:type="spellEnd"/>
      <w:r w:rsidRPr="00287D68">
        <w:rPr>
          <w:i/>
          <w:iCs/>
          <w:highlight w:val="yellow"/>
        </w:rPr>
        <w:t xml:space="preserve"> ID as a reference to the UE context in the SN that was established by the source MN</w:t>
      </w:r>
      <w:r w:rsidRPr="00044D69">
        <w:rPr>
          <w:i/>
          <w:iCs/>
        </w:rPr>
        <w:t>. If the target MN decides to change the SN, the target MN sends the SN Addition Request to the target SN including the UE context in the source SN that was established by the source MN.</w:t>
      </w:r>
    </w:p>
    <w:p w14:paraId="33229BE8" w14:textId="657CD7ED" w:rsidR="007D2A13" w:rsidRDefault="00044D69" w:rsidP="008559D6">
      <w:r>
        <w:t xml:space="preserve">This defines MN’s behaviour. It may therefore be concluded, the MN shall include the UE ID. </w:t>
      </w:r>
      <w:r w:rsidR="007D2A13">
        <w:t>However, it also refers to the UE context thus linking keeping the SN with keeping the UE context there. Therefore, if the MN uses the UE AP ID, it does so to reach the UE context, the condition is not absolute.</w:t>
      </w:r>
    </w:p>
    <w:p w14:paraId="09AC5704" w14:textId="282D4EC0" w:rsidR="00B63BCE" w:rsidRDefault="007D2A13" w:rsidP="008559D6">
      <w:r>
        <w:t xml:space="preserve">In </w:t>
      </w:r>
      <w:proofErr w:type="spellStart"/>
      <w:r>
        <w:t>addtition</w:t>
      </w:r>
      <w:proofErr w:type="spellEnd"/>
      <w:r w:rsidR="00B63BCE">
        <w:t>, one may observe that there is no way, from the SN’s perspective to verify if given Addition request is or is not related to the known UE. But still, the standard shall rather be interpreted that the MN is expected to include the UE ID whenever the SN does not change.</w:t>
      </w:r>
    </w:p>
    <w:p w14:paraId="16E40F77" w14:textId="03B0B20C" w:rsidR="004A5971" w:rsidRPr="004A5971" w:rsidRDefault="004A5971" w:rsidP="008559D6">
      <w:pPr>
        <w:rPr>
          <w:b/>
          <w:bCs/>
        </w:rPr>
      </w:pPr>
      <w:r w:rsidRPr="004A5971">
        <w:rPr>
          <w:b/>
          <w:bCs/>
        </w:rPr>
        <w:t xml:space="preserve">Proposal 1-1: RAN3 shall conclude </w:t>
      </w:r>
      <w:r w:rsidR="00700D76">
        <w:rPr>
          <w:b/>
          <w:bCs/>
        </w:rPr>
        <w:t xml:space="preserve">and respond to RAN2 </w:t>
      </w:r>
      <w:r w:rsidRPr="004A5971">
        <w:rPr>
          <w:b/>
          <w:bCs/>
        </w:rPr>
        <w:t xml:space="preserve">that </w:t>
      </w:r>
      <w:r w:rsidR="007D2A13">
        <w:rPr>
          <w:b/>
          <w:bCs/>
        </w:rPr>
        <w:t xml:space="preserve">it is up to the MN implementation to include </w:t>
      </w:r>
      <w:r w:rsidRPr="004A5971">
        <w:rPr>
          <w:b/>
          <w:bCs/>
        </w:rPr>
        <w:t>the UE AP ID in case of the HO without SN change.</w:t>
      </w:r>
      <w:r w:rsidR="007D2A13">
        <w:rPr>
          <w:b/>
          <w:bCs/>
        </w:rPr>
        <w:t xml:space="preserve"> However, if it is not included, the SN has no way to identify the UE as a known one.</w:t>
      </w:r>
    </w:p>
    <w:p w14:paraId="45A40E86" w14:textId="5C9B518D" w:rsidR="00684A43" w:rsidRDefault="009213BE" w:rsidP="00F13D18">
      <w:pPr>
        <w:pStyle w:val="Heading2"/>
      </w:pPr>
      <w:r>
        <w:t>2.2</w:t>
      </w:r>
      <w:r>
        <w:tab/>
      </w:r>
      <w:r w:rsidR="00F13D18">
        <w:t>The problem of the RRC configuration</w:t>
      </w:r>
    </w:p>
    <w:p w14:paraId="4D9481E9" w14:textId="19DC8109" w:rsidR="00F13D18" w:rsidRDefault="004F5BE3" w:rsidP="007D2A13">
      <w:r>
        <w:t>Once concluded that</w:t>
      </w:r>
      <w:r w:rsidR="007D2A13">
        <w:t>, depending on the implementation,</w:t>
      </w:r>
      <w:r>
        <w:t xml:space="preserve"> the UE AP ID </w:t>
      </w:r>
      <w:r w:rsidR="007D2A13">
        <w:t xml:space="preserve">may or may not be used in case of a HO without SN change, </w:t>
      </w:r>
      <w:r>
        <w:t xml:space="preserve">RAN3 must address the question on providing the RRC configuration: may the SN provide delta config based on the identified UE context, even if the MN did not include </w:t>
      </w:r>
      <w:r w:rsidR="007D2A13">
        <w:t>the SCG config</w:t>
      </w:r>
      <w:r>
        <w:t>?</w:t>
      </w:r>
    </w:p>
    <w:p w14:paraId="5DA67357" w14:textId="0484778E" w:rsidR="007D2A13" w:rsidRDefault="007D2A13" w:rsidP="00684A43">
      <w:r>
        <w:lastRenderedPageBreak/>
        <w:t xml:space="preserve">When looking at the RRC specification, one may see there </w:t>
      </w:r>
      <w:r w:rsidR="00394BD3">
        <w:t xml:space="preserve">are </w:t>
      </w:r>
      <w:r>
        <w:t xml:space="preserve">clear conditions </w:t>
      </w:r>
      <w:r w:rsidR="00394BD3">
        <w:t xml:space="preserve">defined there </w:t>
      </w:r>
      <w:r>
        <w:t>regarding the inclusion of the SCG config:</w:t>
      </w:r>
    </w:p>
    <w:p w14:paraId="6E45C45B" w14:textId="77777777" w:rsidR="007D2A13" w:rsidRPr="007D2A13" w:rsidRDefault="007D2A13" w:rsidP="00394BD3">
      <w:pPr>
        <w:ind w:left="567" w:right="569"/>
        <w:rPr>
          <w:b/>
          <w:bCs/>
        </w:rPr>
      </w:pPr>
      <w:proofErr w:type="spellStart"/>
      <w:r w:rsidRPr="007D2A13">
        <w:rPr>
          <w:b/>
          <w:bCs/>
        </w:rPr>
        <w:t>scg</w:t>
      </w:r>
      <w:proofErr w:type="spellEnd"/>
      <w:r w:rsidRPr="007D2A13">
        <w:rPr>
          <w:b/>
          <w:bCs/>
        </w:rPr>
        <w:t>-RB-Config</w:t>
      </w:r>
    </w:p>
    <w:p w14:paraId="376E99BF" w14:textId="13AD03BA" w:rsidR="007D2A13" w:rsidRDefault="007D2A13" w:rsidP="00394BD3">
      <w:pPr>
        <w:ind w:left="567" w:right="569"/>
      </w:pPr>
      <w:r>
        <w:t xml:space="preserve">Contains </w:t>
      </w:r>
      <w:proofErr w:type="gramStart"/>
      <w:r>
        <w:t>all of</w:t>
      </w:r>
      <w:proofErr w:type="gramEnd"/>
      <w:r>
        <w:t xml:space="preserve"> the fields in the IE </w:t>
      </w:r>
      <w:proofErr w:type="spellStart"/>
      <w:r>
        <w:t>RadioBearerConfig</w:t>
      </w:r>
      <w:proofErr w:type="spellEnd"/>
      <w:r>
        <w:t xml:space="preserve"> used in SCG, used to allow the target SN to use delta configuration to the UE, e.g. during SN change. </w:t>
      </w:r>
      <w:r w:rsidRPr="007D2A13">
        <w:rPr>
          <w:highlight w:val="yellow"/>
        </w:rPr>
        <w:t>The field is signalled upon change of SN. Otherwise, the field is absent.</w:t>
      </w:r>
      <w:r>
        <w:t xml:space="preserve"> This field is also absent when master eNB uses full configuration option.</w:t>
      </w:r>
    </w:p>
    <w:p w14:paraId="74AB3B75" w14:textId="77777777" w:rsidR="007D2A13" w:rsidRPr="007D2A13" w:rsidRDefault="007D2A13" w:rsidP="00394BD3">
      <w:pPr>
        <w:ind w:left="567" w:right="569"/>
        <w:rPr>
          <w:b/>
          <w:bCs/>
        </w:rPr>
      </w:pPr>
      <w:proofErr w:type="spellStart"/>
      <w:r w:rsidRPr="007D2A13">
        <w:rPr>
          <w:b/>
          <w:bCs/>
        </w:rPr>
        <w:t>sourceConfigSCG</w:t>
      </w:r>
      <w:proofErr w:type="spellEnd"/>
    </w:p>
    <w:p w14:paraId="6814DAB5" w14:textId="6F74A3C0" w:rsidR="007D2A13" w:rsidRDefault="007D2A13" w:rsidP="00394BD3">
      <w:pPr>
        <w:ind w:left="567" w:right="569"/>
      </w:pPr>
      <w:r>
        <w:t xml:space="preserve">Includes </w:t>
      </w:r>
      <w:proofErr w:type="gramStart"/>
      <w:r>
        <w:t>all of</w:t>
      </w:r>
      <w:proofErr w:type="gramEnd"/>
      <w:r>
        <w:t xml:space="preserve"> the current SCG configurations used by the target SN to build delta configuration to be sent to UE, e.g. during SN change. The field contains the </w:t>
      </w:r>
      <w:proofErr w:type="spellStart"/>
      <w:r>
        <w:t>RRCReconfiguration</w:t>
      </w:r>
      <w:proofErr w:type="spellEnd"/>
      <w:r>
        <w:t xml:space="preserve"> message, i.e. including </w:t>
      </w:r>
      <w:proofErr w:type="spellStart"/>
      <w:r>
        <w:t>secondaryCellGroup</w:t>
      </w:r>
      <w:proofErr w:type="spellEnd"/>
      <w:r>
        <w:t xml:space="preserve"> and </w:t>
      </w:r>
      <w:proofErr w:type="spellStart"/>
      <w:r>
        <w:t>measConfig</w:t>
      </w:r>
      <w:proofErr w:type="spellEnd"/>
      <w:r>
        <w:t xml:space="preserve">. </w:t>
      </w:r>
      <w:r w:rsidRPr="007D2A13">
        <w:rPr>
          <w:highlight w:val="yellow"/>
        </w:rPr>
        <w:t>The field is signalled upon change of SN, unless MN uses full configuration option. Otherwise, the field is absent.</w:t>
      </w:r>
    </w:p>
    <w:p w14:paraId="1F6E5115" w14:textId="3EDE05AB" w:rsidR="00287D68" w:rsidRDefault="00287D68" w:rsidP="00684A43">
      <w:r>
        <w:t>This is also hinted in the 2</w:t>
      </w:r>
      <w:r w:rsidRPr="00287D68">
        <w:rPr>
          <w:vertAlign w:val="superscript"/>
        </w:rPr>
        <w:t>nd</w:t>
      </w:r>
      <w:r>
        <w:t xml:space="preserve"> part of the </w:t>
      </w:r>
      <w:proofErr w:type="gramStart"/>
      <w:r>
        <w:t>stage-2</w:t>
      </w:r>
      <w:proofErr w:type="gramEnd"/>
      <w:r>
        <w:t>, already cited above:</w:t>
      </w:r>
    </w:p>
    <w:p w14:paraId="3A04BDAB" w14:textId="62ED19F8" w:rsidR="00287D68" w:rsidRDefault="00287D68" w:rsidP="00684A43">
      <w:r w:rsidRPr="00044D69">
        <w:rPr>
          <w:i/>
          <w:iCs/>
        </w:rPr>
        <w:t>If the target MN decides to change the SN, the target MN sends the SN Addition Request to the target SN including the UE context in the source SN that was established by the source MN.</w:t>
      </w:r>
    </w:p>
    <w:p w14:paraId="1B59DF42" w14:textId="2D2DF5B1" w:rsidR="00287D68" w:rsidRDefault="00287D68" w:rsidP="00684A43">
      <w:r>
        <w:t>Apparently, UE context (SCG context) is to be sent only if the SN changes</w:t>
      </w:r>
      <w:r w:rsidR="003E7EC5">
        <w:t>, because in case the SN does not change, the UE context is identified with the included UE AP ID</w:t>
      </w:r>
      <w:r>
        <w:t>.</w:t>
      </w:r>
    </w:p>
    <w:p w14:paraId="5A9AB8DC" w14:textId="551B8212" w:rsidR="00394BD3" w:rsidRDefault="007D2A13" w:rsidP="00684A43">
      <w:r>
        <w:t xml:space="preserve">Therefore, if the MN is to be compliant with the RRC specification, it shall not include the </w:t>
      </w:r>
      <w:r w:rsidR="00F3098F">
        <w:t>SCG config when the SN does not change.</w:t>
      </w:r>
      <w:r w:rsidR="00394BD3">
        <w:t xml:space="preserve"> In such case, considering that the UE ID is meant to reach the UE context, the SN must be allowed to use it to prepare delta configuration. Therefore, in the current specification situation, the only way to make sure the SN prepares full configuration, is to skip providing the UE AP ID.</w:t>
      </w:r>
    </w:p>
    <w:p w14:paraId="1EE5894D" w14:textId="30C9E7EB" w:rsidR="004F5BE3" w:rsidRPr="00537EFF" w:rsidRDefault="004F5BE3" w:rsidP="00684A43">
      <w:pPr>
        <w:rPr>
          <w:b/>
          <w:bCs/>
        </w:rPr>
      </w:pPr>
      <w:r w:rsidRPr="00537EFF">
        <w:rPr>
          <w:b/>
          <w:bCs/>
        </w:rPr>
        <w:t>Proposal 2-1: RAN3 shall conclude and respond to RAN2 that</w:t>
      </w:r>
      <w:r w:rsidR="00394BD3">
        <w:rPr>
          <w:b/>
          <w:bCs/>
        </w:rPr>
        <w:t xml:space="preserve"> in the current situation, the SN </w:t>
      </w:r>
      <w:proofErr w:type="gramStart"/>
      <w:r w:rsidR="00394BD3">
        <w:rPr>
          <w:b/>
          <w:bCs/>
        </w:rPr>
        <w:t>is allowed to</w:t>
      </w:r>
      <w:proofErr w:type="gramEnd"/>
      <w:r w:rsidR="00394BD3">
        <w:rPr>
          <w:b/>
          <w:bCs/>
        </w:rPr>
        <w:t xml:space="preserve"> use the UE AP ID to prepare the delta configuration</w:t>
      </w:r>
      <w:r w:rsidRPr="00537EFF">
        <w:rPr>
          <w:b/>
          <w:bCs/>
        </w:rPr>
        <w:t>.</w:t>
      </w:r>
    </w:p>
    <w:p w14:paraId="69521943" w14:textId="3FBDE812" w:rsidR="00537EFF" w:rsidRDefault="00537EFF" w:rsidP="00684A43">
      <w:r>
        <w:t xml:space="preserve">This clarifies usage of the existing </w:t>
      </w:r>
      <w:proofErr w:type="gramStart"/>
      <w:r>
        <w:t>signalling,</w:t>
      </w:r>
      <w:proofErr w:type="gramEnd"/>
      <w:r>
        <w:t xml:space="preserve"> therefore no stage-3 changes are needed. However, to avoid future problems, this interpretation may need to be anchored in stage-2 (TS 37.340).</w:t>
      </w:r>
    </w:p>
    <w:p w14:paraId="596AA6B4" w14:textId="06059658" w:rsidR="00537EFF" w:rsidRPr="00537EFF" w:rsidRDefault="00537EFF" w:rsidP="00684A43">
      <w:pPr>
        <w:rPr>
          <w:b/>
          <w:bCs/>
        </w:rPr>
      </w:pPr>
      <w:r w:rsidRPr="00537EFF">
        <w:rPr>
          <w:b/>
          <w:bCs/>
        </w:rPr>
        <w:t>Proposal 2-2: Stage-2 shall be amended to clarify the understanding proposed in 2-1.</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0DE7606F" w:rsidR="002F4257" w:rsidRDefault="002F4257" w:rsidP="00D20DF3">
      <w:pPr>
        <w:jc w:val="both"/>
        <w:rPr>
          <w:bCs/>
        </w:rPr>
      </w:pPr>
      <w:r>
        <w:rPr>
          <w:bCs/>
        </w:rPr>
        <w:t xml:space="preserve">In this paper, </w:t>
      </w:r>
      <w:r w:rsidR="00815082">
        <w:rPr>
          <w:bCs/>
        </w:rPr>
        <w:t>we’ve addressed the two questions from the LS received at RAN3 #113. We’ve concluded the analysis as follows:</w:t>
      </w:r>
    </w:p>
    <w:p w14:paraId="74BA1770" w14:textId="77777777" w:rsidR="00815082" w:rsidRPr="004A5971" w:rsidRDefault="00815082" w:rsidP="00815082">
      <w:pPr>
        <w:rPr>
          <w:b/>
          <w:bCs/>
        </w:rPr>
      </w:pPr>
      <w:r w:rsidRPr="004A5971">
        <w:rPr>
          <w:b/>
          <w:bCs/>
        </w:rPr>
        <w:t xml:space="preserve">Proposal 1-1: RAN3 shall conclude </w:t>
      </w:r>
      <w:r>
        <w:rPr>
          <w:b/>
          <w:bCs/>
        </w:rPr>
        <w:t xml:space="preserve">and respond to RAN2 </w:t>
      </w:r>
      <w:r w:rsidRPr="004A5971">
        <w:rPr>
          <w:b/>
          <w:bCs/>
        </w:rPr>
        <w:t xml:space="preserve">that </w:t>
      </w:r>
      <w:r>
        <w:rPr>
          <w:b/>
          <w:bCs/>
        </w:rPr>
        <w:t xml:space="preserve">it is up to the MN implementation to include </w:t>
      </w:r>
      <w:r w:rsidRPr="004A5971">
        <w:rPr>
          <w:b/>
          <w:bCs/>
        </w:rPr>
        <w:t>the UE AP ID in case of the HO without SN change.</w:t>
      </w:r>
      <w:r>
        <w:rPr>
          <w:b/>
          <w:bCs/>
        </w:rPr>
        <w:t xml:space="preserve"> However, if it is not included, the SN has no way to identify the UE as a known one.</w:t>
      </w:r>
    </w:p>
    <w:p w14:paraId="222225EA" w14:textId="77777777" w:rsidR="00815082" w:rsidRPr="00537EFF" w:rsidRDefault="00815082" w:rsidP="00815082">
      <w:pPr>
        <w:rPr>
          <w:b/>
          <w:bCs/>
        </w:rPr>
      </w:pPr>
      <w:r w:rsidRPr="00537EFF">
        <w:rPr>
          <w:b/>
          <w:bCs/>
        </w:rPr>
        <w:t>Proposal 2-1: RAN3 shall conclude and respond to RAN2 that</w:t>
      </w:r>
      <w:r>
        <w:rPr>
          <w:b/>
          <w:bCs/>
        </w:rPr>
        <w:t xml:space="preserve"> in the current situation, the SN </w:t>
      </w:r>
      <w:proofErr w:type="gramStart"/>
      <w:r>
        <w:rPr>
          <w:b/>
          <w:bCs/>
        </w:rPr>
        <w:t>is allowed to</w:t>
      </w:r>
      <w:proofErr w:type="gramEnd"/>
      <w:r>
        <w:rPr>
          <w:b/>
          <w:bCs/>
        </w:rPr>
        <w:t xml:space="preserve"> use the UE AP ID to prepare the delta configuration</w:t>
      </w:r>
      <w:r w:rsidRPr="00537EFF">
        <w:rPr>
          <w:b/>
          <w:bCs/>
        </w:rPr>
        <w:t>.</w:t>
      </w:r>
    </w:p>
    <w:p w14:paraId="13155029" w14:textId="77777777" w:rsidR="00815082" w:rsidRPr="00537EFF" w:rsidRDefault="00815082" w:rsidP="00815082">
      <w:pPr>
        <w:rPr>
          <w:b/>
          <w:bCs/>
        </w:rPr>
      </w:pPr>
      <w:r w:rsidRPr="00537EFF">
        <w:rPr>
          <w:b/>
          <w:bCs/>
        </w:rPr>
        <w:t>Proposal 2-2: Stage-2 shall be amended to clarify the understanding proposed in 2-1.</w:t>
      </w:r>
    </w:p>
    <w:p w14:paraId="21A337AF" w14:textId="0CC5EDCC" w:rsidR="002F4257" w:rsidRPr="000665EA" w:rsidRDefault="002F4257" w:rsidP="006A43F7">
      <w:pPr>
        <w:jc w:val="both"/>
        <w:rPr>
          <w:bCs/>
        </w:rPr>
      </w:pPr>
      <w:r>
        <w:rPr>
          <w:bCs/>
        </w:rPr>
        <w:t xml:space="preserve">The </w:t>
      </w:r>
      <w:r w:rsidR="00815082">
        <w:rPr>
          <w:bCs/>
        </w:rPr>
        <w:t>CR</w:t>
      </w:r>
      <w:r>
        <w:rPr>
          <w:bCs/>
        </w:rPr>
        <w:t>s implementing the solution are proposed in [</w:t>
      </w:r>
      <w:r w:rsidR="00815082">
        <w:rPr>
          <w:bCs/>
        </w:rPr>
        <w:t>2</w:t>
      </w:r>
      <w:r>
        <w:rPr>
          <w:bCs/>
        </w:rPr>
        <w:t>] and [</w:t>
      </w:r>
      <w:r w:rsidR="00815082">
        <w:rPr>
          <w:bCs/>
        </w:rPr>
        <w:t>3</w:t>
      </w:r>
      <w:r>
        <w:rPr>
          <w:bCs/>
        </w:rPr>
        <w:t>].</w:t>
      </w:r>
    </w:p>
    <w:p w14:paraId="483F8717" w14:textId="77777777" w:rsidR="00403B9B" w:rsidRPr="000665EA" w:rsidRDefault="00403B9B" w:rsidP="00403B9B">
      <w:pPr>
        <w:pStyle w:val="Heading1"/>
      </w:pPr>
      <w:r w:rsidRPr="000665EA">
        <w:t>References</w:t>
      </w:r>
    </w:p>
    <w:p w14:paraId="65C3740D" w14:textId="20405213" w:rsidR="002F4257" w:rsidRDefault="00F424A3" w:rsidP="008A3464">
      <w:pPr>
        <w:numPr>
          <w:ilvl w:val="0"/>
          <w:numId w:val="4"/>
        </w:numPr>
        <w:overflowPunct w:val="0"/>
        <w:autoSpaceDE w:val="0"/>
        <w:autoSpaceDN w:val="0"/>
        <w:adjustRightInd w:val="0"/>
        <w:textAlignment w:val="baseline"/>
      </w:pPr>
      <w:r>
        <w:t>R2-2106682, RAN2 #114e</w:t>
      </w:r>
    </w:p>
    <w:p w14:paraId="5E9967C3" w14:textId="5F9746BC" w:rsidR="00815082" w:rsidRDefault="00815082" w:rsidP="008A3464">
      <w:pPr>
        <w:numPr>
          <w:ilvl w:val="0"/>
          <w:numId w:val="4"/>
        </w:numPr>
        <w:overflowPunct w:val="0"/>
        <w:autoSpaceDE w:val="0"/>
        <w:autoSpaceDN w:val="0"/>
        <w:adjustRightInd w:val="0"/>
        <w:textAlignment w:val="baseline"/>
      </w:pPr>
      <w:r>
        <w:t>R3-213250, RAN3 #113e</w:t>
      </w:r>
    </w:p>
    <w:p w14:paraId="498174BC" w14:textId="5AECE193" w:rsidR="00815082" w:rsidRPr="000665EA" w:rsidRDefault="00815082" w:rsidP="008A3464">
      <w:pPr>
        <w:numPr>
          <w:ilvl w:val="0"/>
          <w:numId w:val="4"/>
        </w:numPr>
        <w:overflowPunct w:val="0"/>
        <w:autoSpaceDE w:val="0"/>
        <w:autoSpaceDN w:val="0"/>
        <w:adjustRightInd w:val="0"/>
        <w:textAlignment w:val="baseline"/>
      </w:pPr>
      <w:r>
        <w:t>R3-213251, RAN3 #113e</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4D6F6" w14:textId="77777777" w:rsidR="001A2981" w:rsidRDefault="001A2981">
      <w:r>
        <w:separator/>
      </w:r>
    </w:p>
  </w:endnote>
  <w:endnote w:type="continuationSeparator" w:id="0">
    <w:p w14:paraId="6A7797C8" w14:textId="77777777" w:rsidR="001A2981" w:rsidRDefault="001A2981">
      <w:r>
        <w:continuationSeparator/>
      </w:r>
    </w:p>
  </w:endnote>
  <w:endnote w:type="continuationNotice" w:id="1">
    <w:p w14:paraId="66594C53" w14:textId="77777777" w:rsidR="001A2981" w:rsidRDefault="001A2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660F8" w14:textId="77777777" w:rsidR="001A2981" w:rsidRDefault="001A2981">
      <w:r>
        <w:separator/>
      </w:r>
    </w:p>
  </w:footnote>
  <w:footnote w:type="continuationSeparator" w:id="0">
    <w:p w14:paraId="1822E193" w14:textId="77777777" w:rsidR="001A2981" w:rsidRDefault="001A2981">
      <w:r>
        <w:continuationSeparator/>
      </w:r>
    </w:p>
  </w:footnote>
  <w:footnote w:type="continuationNotice" w:id="1">
    <w:p w14:paraId="31915CC8" w14:textId="77777777" w:rsidR="001A2981" w:rsidRDefault="001A29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7008D9"/>
    <w:multiLevelType w:val="hybridMultilevel"/>
    <w:tmpl w:val="0FE083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7D43A6"/>
    <w:multiLevelType w:val="hybridMultilevel"/>
    <w:tmpl w:val="7CC4FD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5"/>
  </w:num>
  <w:num w:numId="4">
    <w:abstractNumId w:val="9"/>
  </w:num>
  <w:num w:numId="5">
    <w:abstractNumId w:val="10"/>
  </w:num>
  <w:num w:numId="6">
    <w:abstractNumId w:val="39"/>
  </w:num>
  <w:num w:numId="7">
    <w:abstractNumId w:val="26"/>
  </w:num>
  <w:num w:numId="8">
    <w:abstractNumId w:val="16"/>
  </w:num>
  <w:num w:numId="9">
    <w:abstractNumId w:val="38"/>
  </w:num>
  <w:num w:numId="10">
    <w:abstractNumId w:val="25"/>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1"/>
  </w:num>
  <w:num w:numId="28">
    <w:abstractNumId w:val="36"/>
  </w:num>
  <w:num w:numId="29">
    <w:abstractNumId w:val="37"/>
  </w:num>
  <w:num w:numId="30">
    <w:abstractNumId w:val="27"/>
  </w:num>
  <w:num w:numId="31">
    <w:abstractNumId w:val="24"/>
  </w:num>
  <w:num w:numId="32">
    <w:abstractNumId w:val="18"/>
  </w:num>
  <w:num w:numId="33">
    <w:abstractNumId w:val="29"/>
  </w:num>
  <w:num w:numId="34">
    <w:abstractNumId w:val="13"/>
  </w:num>
  <w:num w:numId="35">
    <w:abstractNumId w:val="12"/>
  </w:num>
  <w:num w:numId="36">
    <w:abstractNumId w:val="35"/>
  </w:num>
  <w:num w:numId="37">
    <w:abstractNumId w:val="22"/>
  </w:num>
  <w:num w:numId="38">
    <w:abstractNumId w:val="30"/>
  </w:num>
  <w:num w:numId="39">
    <w:abstractNumId w:val="40"/>
  </w:num>
  <w:num w:numId="40">
    <w:abstractNumId w:val="11"/>
  </w:num>
  <w:num w:numId="41">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3CC"/>
    <w:rsid w:val="000149CB"/>
    <w:rsid w:val="00017509"/>
    <w:rsid w:val="00017E54"/>
    <w:rsid w:val="0002700F"/>
    <w:rsid w:val="000304FC"/>
    <w:rsid w:val="00032E6B"/>
    <w:rsid w:val="00033397"/>
    <w:rsid w:val="000342C7"/>
    <w:rsid w:val="000368CB"/>
    <w:rsid w:val="00040095"/>
    <w:rsid w:val="00042620"/>
    <w:rsid w:val="00044AC7"/>
    <w:rsid w:val="00044D69"/>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D3F"/>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981"/>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D68"/>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4BD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E7EC5"/>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971"/>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4F5BE3"/>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37EFF"/>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43"/>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0D76"/>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2A13"/>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5082"/>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13BE"/>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87999"/>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3BCE"/>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B7848"/>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0E0"/>
    <w:rsid w:val="00EF628F"/>
    <w:rsid w:val="00EF7667"/>
    <w:rsid w:val="00F00780"/>
    <w:rsid w:val="00F025A2"/>
    <w:rsid w:val="00F03003"/>
    <w:rsid w:val="00F03C5A"/>
    <w:rsid w:val="00F0430E"/>
    <w:rsid w:val="00F076C8"/>
    <w:rsid w:val="00F127B7"/>
    <w:rsid w:val="00F13D18"/>
    <w:rsid w:val="00F13D6C"/>
    <w:rsid w:val="00F16632"/>
    <w:rsid w:val="00F17F82"/>
    <w:rsid w:val="00F2026E"/>
    <w:rsid w:val="00F21F3E"/>
    <w:rsid w:val="00F2210A"/>
    <w:rsid w:val="00F22463"/>
    <w:rsid w:val="00F23E13"/>
    <w:rsid w:val="00F24153"/>
    <w:rsid w:val="00F3098F"/>
    <w:rsid w:val="00F31A73"/>
    <w:rsid w:val="00F36DA6"/>
    <w:rsid w:val="00F37743"/>
    <w:rsid w:val="00F402FC"/>
    <w:rsid w:val="00F4160A"/>
    <w:rsid w:val="00F418AD"/>
    <w:rsid w:val="00F41BFB"/>
    <w:rsid w:val="00F41D6C"/>
    <w:rsid w:val="00F424A3"/>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0235418">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5533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for full or delta configuration</dc:title>
  <dc:subject>3GPP RAN3 #113-e</dc:subject>
  <dc:creator>Benoist Sébire</dc:creator>
  <cp:keywords>&lt;keyword[, keyword, ]&gt;</cp:keywords>
  <dc:description/>
  <cp:lastModifiedBy>Nokia</cp:lastModifiedBy>
  <cp:revision>4</cp:revision>
  <cp:lastPrinted>2019-03-27T07:16:00Z</cp:lastPrinted>
  <dcterms:created xsi:type="dcterms:W3CDTF">2021-08-02T09:41:00Z</dcterms:created>
  <dcterms:modified xsi:type="dcterms:W3CDTF">2021-08-05T15:34:00Z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